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81A" w:rsidRPr="001A549D" w:rsidRDefault="001A549D" w:rsidP="001A549D">
      <w:pPr>
        <w:spacing w:before="200" w:after="120"/>
        <w:rPr>
          <w:color w:val="000000" w:themeColor="text1"/>
          <w:sz w:val="28"/>
          <w:szCs w:val="28"/>
        </w:rPr>
      </w:pPr>
      <w:r w:rsidRPr="001A549D">
        <w:rPr>
          <w:rFonts w:ascii="Arial" w:eastAsia="Arial" w:hAnsi="Arial" w:cs="Arial"/>
          <w:b/>
          <w:bCs/>
          <w:color w:val="000000" w:themeColor="text1"/>
          <w:sz w:val="28"/>
          <w:szCs w:val="28"/>
        </w:rPr>
        <w:t>PORTARIA SRE 19/2026 – PRODUTOS EXCLUÍDOS</w:t>
      </w:r>
    </w:p>
    <w:p w:rsidR="00E2181A" w:rsidRPr="001A549D" w:rsidRDefault="00D757B5" w:rsidP="001A549D">
      <w:pPr>
        <w:spacing w:after="80"/>
        <w:rPr>
          <w:b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i/>
          <w:iCs/>
          <w:color w:val="000000" w:themeColor="text1"/>
          <w:sz w:val="24"/>
          <w:szCs w:val="24"/>
        </w:rPr>
        <w:t>(</w:t>
      </w:r>
      <w:r w:rsidR="00E2181A" w:rsidRPr="001A549D">
        <w:rPr>
          <w:rFonts w:ascii="Arial" w:eastAsia="Arial" w:hAnsi="Arial" w:cs="Arial"/>
          <w:b/>
          <w:i/>
          <w:iCs/>
          <w:color w:val="000000" w:themeColor="text1"/>
          <w:sz w:val="24"/>
          <w:szCs w:val="24"/>
        </w:rPr>
        <w:t>Em vigor a partir de 1º de agosto de 2026</w:t>
      </w:r>
      <w:r>
        <w:rPr>
          <w:rFonts w:ascii="Arial" w:eastAsia="Arial" w:hAnsi="Arial" w:cs="Arial"/>
          <w:b/>
          <w:i/>
          <w:iCs/>
          <w:color w:val="000000" w:themeColor="text1"/>
          <w:sz w:val="24"/>
          <w:szCs w:val="24"/>
        </w:rPr>
        <w:t>)</w:t>
      </w:r>
    </w:p>
    <w:p w:rsidR="00E2181A" w:rsidRPr="001A549D" w:rsidRDefault="001A549D" w:rsidP="001A549D">
      <w:pPr>
        <w:spacing w:before="300" w:after="120"/>
        <w:rPr>
          <w:color w:val="000000" w:themeColor="text1"/>
        </w:rPr>
      </w:pPr>
      <w:r w:rsidRPr="001A549D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1. ANEXO XVII – MATERIAIS DE CONSTRUÇÃO E CONGÊNERES (PORT</w:t>
      </w:r>
      <w:r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1A549D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CAT 68/19)</w:t>
      </w:r>
    </w:p>
    <w:p w:rsidR="00E2181A" w:rsidRPr="001A549D" w:rsidRDefault="00E2181A" w:rsidP="001A549D">
      <w:pPr>
        <w:spacing w:before="200" w:after="80"/>
        <w:rPr>
          <w:color w:val="000000" w:themeColor="text1"/>
        </w:rPr>
      </w:pPr>
      <w:r w:rsidRPr="001A549D">
        <w:rPr>
          <w:rFonts w:ascii="Arial" w:eastAsia="Arial" w:hAnsi="Arial" w:cs="Arial"/>
          <w:b/>
          <w:bCs/>
          <w:color w:val="000000" w:themeColor="text1"/>
        </w:rPr>
        <w:t>Item 62 revogado:</w:t>
      </w: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/>
      </w:tblPr>
      <w:tblGrid>
        <w:gridCol w:w="700"/>
        <w:gridCol w:w="1200"/>
        <w:gridCol w:w="1500"/>
        <w:gridCol w:w="6166"/>
      </w:tblGrid>
      <w:tr w:rsidR="00E2181A" w:rsidRPr="001A549D" w:rsidTr="00B53C89">
        <w:trPr>
          <w:tblHeader/>
        </w:trPr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CEST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NCM/SH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Descrição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10.064.00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7411.10.10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Tubos de cobre e suas ligas, para instalações de água quente e gás, para uso na construção</w:t>
            </w:r>
          </w:p>
        </w:tc>
      </w:tr>
    </w:tbl>
    <w:p w:rsidR="00E2181A" w:rsidRPr="001A549D" w:rsidRDefault="00E2181A" w:rsidP="001A549D">
      <w:pPr>
        <w:spacing w:before="180" w:after="60"/>
        <w:rPr>
          <w:color w:val="000000" w:themeColor="text1"/>
        </w:rPr>
      </w:pPr>
      <w:r w:rsidRPr="001A549D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Item 51 do Anexo Único da Portaria SRE 88/25 – Base de Cálculo (Materiais de Construção):</w:t>
      </w: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/>
      </w:tblPr>
      <w:tblGrid>
        <w:gridCol w:w="700"/>
        <w:gridCol w:w="1200"/>
        <w:gridCol w:w="1500"/>
        <w:gridCol w:w="6166"/>
      </w:tblGrid>
      <w:tr w:rsidR="00E2181A" w:rsidRPr="001A549D" w:rsidTr="00B53C89">
        <w:trPr>
          <w:tblHeader/>
        </w:trPr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CEST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NCM/SH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Descrição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10.064.00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7411.10.10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Tubos de cobre e suas ligas, para instalações de água quente e gás, para uso na construção civil (IVA-ST de 67% revogado)</w:t>
            </w:r>
          </w:p>
        </w:tc>
      </w:tr>
    </w:tbl>
    <w:p w:rsidR="00E2181A" w:rsidRPr="001A549D" w:rsidRDefault="001A549D" w:rsidP="001A549D">
      <w:pPr>
        <w:spacing w:before="300" w:after="120"/>
        <w:rPr>
          <w:color w:val="000000" w:themeColor="text1"/>
        </w:rPr>
      </w:pPr>
      <w:r w:rsidRPr="001A549D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2. ANEXO XXII – PRODUTOS ELETRÔNICOS, ELETROELETRÔNICOS E ELETRODOMÉSTICOS (PORTARIA CAT 68/19)</w:t>
      </w:r>
    </w:p>
    <w:tbl>
      <w:tblPr>
        <w:tblW w:w="9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/>
      </w:tblPr>
      <w:tblGrid>
        <w:gridCol w:w="700"/>
        <w:gridCol w:w="1200"/>
        <w:gridCol w:w="1500"/>
        <w:gridCol w:w="6166"/>
      </w:tblGrid>
      <w:tr w:rsidR="00E2181A" w:rsidRPr="001A549D" w:rsidTr="00B53C89">
        <w:trPr>
          <w:tblHeader/>
        </w:trPr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CEST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NCM/SH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F386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:rsidR="00E2181A" w:rsidRPr="001A549D" w:rsidRDefault="00E2181A" w:rsidP="00B53C89">
            <w:pPr>
              <w:jc w:val="center"/>
              <w:rPr>
                <w:color w:val="FFFFFF" w:themeColor="background1"/>
              </w:rPr>
            </w:pPr>
            <w:r w:rsidRPr="001A549D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Descrição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21.011.00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8421.12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Secadoras de roupa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21.012.00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8421.19.90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Outras secadoras de roupas e centrífugas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21.013.00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8418.69.31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Bebedouros refrigerados para água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14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21.014.00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8421.9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Partes das secadoras de roupas e centrífugas de uso doméstico e dos aparelhos para filtrar ou depurar água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21.019.00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8450.11.00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Máquinas de lavar roupa até 10 kg, inteiramente automáticas,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21.020.00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8450.12.00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Outras máquinas de lavar roupa com secador centrífugo incorporado,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8450.19.00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Outras máquinas de lavar roupa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22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21.022.00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8450.20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Máquinas de lavar roupa acima de 10 kg,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24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21.024.00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8451.21.00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Máquinas de secar de uso doméstico até 10 kg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25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21.025.00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8451.29.90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Outras máquinas de secar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26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21.026.00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8451.90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Partes de máquinas de secar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21.027.00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8452.10.00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Máquinas de costura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39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21.040.00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8508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Aspiradores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8509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Aparelhos eletromecânicos de motor elétrico incorporado, de uso doméstico e suas partes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21.042.00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8509.80.10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Enceradeiras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42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21.043.00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8516.10.00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Chaleiras elétricas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43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21.044.00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8516.40.00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Ferros elétricos de passar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45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21.046.00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8516.60.00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Outros fornos; fogareiros, grelhas e assadeiras (exceto portáteis)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21.047.00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8516.60.00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Outros fornos; fogareiros, grelhas e assadeiras portáteis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47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21.048.00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8516.71.00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Cafeteiras elétricas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21.049.00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8516.72.00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Torradeiras elétricas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21.050.00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8516.79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Outros aparelhos eletrotérmicos de uso doméstico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21.051.00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8516.90.00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Partes dos aparelhos eletrotérmicos da posição 85.16 (chaleiras, ferros, fornos etc.)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21.088.00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8414.5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Ventiladores (exceto os de uso agrícola e do CEST 21.088.01)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89.1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21.088.01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8414.59.10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Microventiladores com área de carcaça inferior a 90 cm²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21.090.00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8414.60.00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Coifas com dimensão horizontal máxima não superior a 120 cm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21.091.00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8414.90.20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Partes de ventiladores ou coifas aspirantes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99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21.098.01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8421.21.00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Outros aparelhos elétricos para filtrar ou depurar água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lastRenderedPageBreak/>
              <w:t>100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21.099.00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8424.30.10 / 8424.30.90 / 8424.90.90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Lavadora de alta pressão e suas partes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101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21.100.00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8467.21.00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Furadeiras elétricas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102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21.101.00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8516.2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Aparelhos elétricos para aquecimento de ambientes</w:t>
            </w:r>
          </w:p>
        </w:tc>
      </w:tr>
      <w:tr w:rsidR="00E2181A" w:rsidRPr="001A549D" w:rsidTr="00B53C89">
        <w:tc>
          <w:tcPr>
            <w:tcW w:w="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109</w:t>
            </w:r>
          </w:p>
        </w:tc>
        <w:tc>
          <w:tcPr>
            <w:tcW w:w="1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21.108.00</w:t>
            </w:r>
          </w:p>
        </w:tc>
        <w:tc>
          <w:tcPr>
            <w:tcW w:w="1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jc w:val="center"/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8423.10.00</w:t>
            </w:r>
          </w:p>
        </w:tc>
        <w:tc>
          <w:tcPr>
            <w:tcW w:w="6166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:rsidR="00E2181A" w:rsidRPr="001A549D" w:rsidRDefault="00E2181A" w:rsidP="00B53C89">
            <w:pPr>
              <w:rPr>
                <w:color w:val="000000" w:themeColor="text1"/>
              </w:rPr>
            </w:pPr>
            <w:r w:rsidRPr="001A549D">
              <w:rPr>
                <w:rFonts w:ascii="Arial" w:eastAsia="Arial" w:hAnsi="Arial" w:cs="Arial"/>
                <w:color w:val="000000" w:themeColor="text1"/>
                <w:sz w:val="16"/>
                <w:szCs w:val="16"/>
              </w:rPr>
              <w:t>Balanças de uso doméstico</w:t>
            </w:r>
          </w:p>
        </w:tc>
      </w:tr>
    </w:tbl>
    <w:p w:rsidR="00E2181A" w:rsidRPr="001A549D" w:rsidRDefault="00E2181A" w:rsidP="00E2181A">
      <w:pPr>
        <w:pBdr>
          <w:bottom w:val="single" w:sz="4" w:space="1" w:color="1F3864"/>
        </w:pBdr>
        <w:spacing w:before="160" w:after="160"/>
        <w:rPr>
          <w:color w:val="000000" w:themeColor="text1"/>
        </w:rPr>
      </w:pPr>
    </w:p>
    <w:p w:rsidR="001A549D" w:rsidRDefault="001A549D" w:rsidP="001A549D">
      <w:pPr>
        <w:spacing w:before="200" w:after="12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:rsidR="00E2181A" w:rsidRPr="001A549D" w:rsidRDefault="00E2181A" w:rsidP="00E2181A">
      <w:pPr>
        <w:spacing w:before="80" w:after="40"/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</w:pPr>
      <w:r w:rsidRPr="001A54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* </w:t>
      </w:r>
      <w:r w:rsidR="001A54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 A </w:t>
      </w:r>
      <w:r w:rsidRPr="001A54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Portaria SRE 57/25 também revoga regras sobre base de cálculo relacionadas aos itens acima.</w:t>
      </w:r>
    </w:p>
    <w:p w:rsidR="002B2B2F" w:rsidRPr="001A549D" w:rsidRDefault="002B2B2F" w:rsidP="00E2181A">
      <w:pPr>
        <w:spacing w:before="80" w:after="40"/>
        <w:rPr>
          <w:color w:val="000000" w:themeColor="text1"/>
          <w:sz w:val="24"/>
          <w:szCs w:val="24"/>
        </w:rPr>
      </w:pPr>
      <w:r w:rsidRPr="001A54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Fonte = Fecomércio SP </w:t>
      </w:r>
      <w:r w:rsidR="001A549D" w:rsidRPr="001A549D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 xml:space="preserve"> </w:t>
      </w:r>
    </w:p>
    <w:sectPr w:rsidR="002B2B2F" w:rsidRPr="001A549D" w:rsidSect="001A549D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F97" w:rsidRDefault="004A1F97" w:rsidP="005B64EB">
      <w:r>
        <w:separator/>
      </w:r>
    </w:p>
  </w:endnote>
  <w:endnote w:type="continuationSeparator" w:id="0">
    <w:p w:rsidR="004A1F97" w:rsidRDefault="004A1F97" w:rsidP="005B64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24B" w:rsidRPr="0046324B" w:rsidRDefault="0046324B" w:rsidP="0046324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F97" w:rsidRDefault="004A1F97" w:rsidP="005B64EB">
      <w:r>
        <w:separator/>
      </w:r>
    </w:p>
  </w:footnote>
  <w:footnote w:type="continuationSeparator" w:id="0">
    <w:p w:rsidR="004A1F97" w:rsidRDefault="004A1F97" w:rsidP="005B64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64EB" w:rsidRDefault="005B64EB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F68D3"/>
    <w:multiLevelType w:val="hybridMultilevel"/>
    <w:tmpl w:val="BE08F30C"/>
    <w:lvl w:ilvl="0" w:tplc="04160013">
      <w:start w:val="1"/>
      <w:numFmt w:val="upperRoman"/>
      <w:lvlText w:val="%1."/>
      <w:lvlJc w:val="righ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1D2808"/>
    <w:multiLevelType w:val="hybridMultilevel"/>
    <w:tmpl w:val="F478401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423B07"/>
    <w:multiLevelType w:val="hybridMultilevel"/>
    <w:tmpl w:val="5B9E108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617631"/>
    <w:multiLevelType w:val="hybridMultilevel"/>
    <w:tmpl w:val="1F601C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A0522A"/>
    <w:multiLevelType w:val="hybridMultilevel"/>
    <w:tmpl w:val="BE122C4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5B64EB"/>
    <w:rsid w:val="00011558"/>
    <w:rsid w:val="000165AB"/>
    <w:rsid w:val="00024C4A"/>
    <w:rsid w:val="00031008"/>
    <w:rsid w:val="00033BC9"/>
    <w:rsid w:val="00034169"/>
    <w:rsid w:val="00036FE9"/>
    <w:rsid w:val="000410CE"/>
    <w:rsid w:val="000416D2"/>
    <w:rsid w:val="000518C3"/>
    <w:rsid w:val="00053EFB"/>
    <w:rsid w:val="00063ABB"/>
    <w:rsid w:val="000665A6"/>
    <w:rsid w:val="0007231C"/>
    <w:rsid w:val="00073731"/>
    <w:rsid w:val="00077DF8"/>
    <w:rsid w:val="00083B28"/>
    <w:rsid w:val="00083D56"/>
    <w:rsid w:val="000A7D49"/>
    <w:rsid w:val="000B4C05"/>
    <w:rsid w:val="000C01F4"/>
    <w:rsid w:val="000D2AE2"/>
    <w:rsid w:val="000D5A39"/>
    <w:rsid w:val="000F6AAD"/>
    <w:rsid w:val="000F72F5"/>
    <w:rsid w:val="001179F1"/>
    <w:rsid w:val="00121DEA"/>
    <w:rsid w:val="001305A2"/>
    <w:rsid w:val="00135306"/>
    <w:rsid w:val="00151C03"/>
    <w:rsid w:val="00163345"/>
    <w:rsid w:val="00165F47"/>
    <w:rsid w:val="00172130"/>
    <w:rsid w:val="001766B3"/>
    <w:rsid w:val="001767DE"/>
    <w:rsid w:val="00182456"/>
    <w:rsid w:val="0019098C"/>
    <w:rsid w:val="00190A40"/>
    <w:rsid w:val="00191D44"/>
    <w:rsid w:val="001969CD"/>
    <w:rsid w:val="00197896"/>
    <w:rsid w:val="00197EEE"/>
    <w:rsid w:val="001A549D"/>
    <w:rsid w:val="001C3EDE"/>
    <w:rsid w:val="001C4ECB"/>
    <w:rsid w:val="001C5F74"/>
    <w:rsid w:val="001C6E8A"/>
    <w:rsid w:val="001C70F1"/>
    <w:rsid w:val="001D3173"/>
    <w:rsid w:val="001D3638"/>
    <w:rsid w:val="001E032A"/>
    <w:rsid w:val="001F2F86"/>
    <w:rsid w:val="00201588"/>
    <w:rsid w:val="00210656"/>
    <w:rsid w:val="00212DC2"/>
    <w:rsid w:val="00213E6B"/>
    <w:rsid w:val="002175FC"/>
    <w:rsid w:val="00220FE9"/>
    <w:rsid w:val="0022754B"/>
    <w:rsid w:val="00232092"/>
    <w:rsid w:val="00240A49"/>
    <w:rsid w:val="00244EA8"/>
    <w:rsid w:val="002477F3"/>
    <w:rsid w:val="002500FA"/>
    <w:rsid w:val="00250EB4"/>
    <w:rsid w:val="0025243C"/>
    <w:rsid w:val="0025495C"/>
    <w:rsid w:val="00271F13"/>
    <w:rsid w:val="00273BDE"/>
    <w:rsid w:val="00274339"/>
    <w:rsid w:val="00276AA1"/>
    <w:rsid w:val="00276D71"/>
    <w:rsid w:val="00277665"/>
    <w:rsid w:val="00283B62"/>
    <w:rsid w:val="00296D97"/>
    <w:rsid w:val="002B173F"/>
    <w:rsid w:val="002B2B2F"/>
    <w:rsid w:val="002D2673"/>
    <w:rsid w:val="002D514E"/>
    <w:rsid w:val="002D6FCD"/>
    <w:rsid w:val="002F7BA3"/>
    <w:rsid w:val="0030132E"/>
    <w:rsid w:val="00304191"/>
    <w:rsid w:val="00321F80"/>
    <w:rsid w:val="0032288B"/>
    <w:rsid w:val="00323257"/>
    <w:rsid w:val="003275B5"/>
    <w:rsid w:val="003377F7"/>
    <w:rsid w:val="00345E9D"/>
    <w:rsid w:val="00351FB1"/>
    <w:rsid w:val="003674C3"/>
    <w:rsid w:val="003773ED"/>
    <w:rsid w:val="00384FA0"/>
    <w:rsid w:val="00385B72"/>
    <w:rsid w:val="0038624C"/>
    <w:rsid w:val="0039086E"/>
    <w:rsid w:val="0039302C"/>
    <w:rsid w:val="003941FA"/>
    <w:rsid w:val="003A7760"/>
    <w:rsid w:val="003C703B"/>
    <w:rsid w:val="003D0FBF"/>
    <w:rsid w:val="003D4736"/>
    <w:rsid w:val="003F35A6"/>
    <w:rsid w:val="004105DC"/>
    <w:rsid w:val="00412C05"/>
    <w:rsid w:val="00414C9E"/>
    <w:rsid w:val="004234DB"/>
    <w:rsid w:val="004549FA"/>
    <w:rsid w:val="00456E58"/>
    <w:rsid w:val="004612E9"/>
    <w:rsid w:val="00462055"/>
    <w:rsid w:val="0046324B"/>
    <w:rsid w:val="00465730"/>
    <w:rsid w:val="00466268"/>
    <w:rsid w:val="00466D17"/>
    <w:rsid w:val="0048512E"/>
    <w:rsid w:val="004947A6"/>
    <w:rsid w:val="004A1669"/>
    <w:rsid w:val="004A1F97"/>
    <w:rsid w:val="004B0522"/>
    <w:rsid w:val="004B5053"/>
    <w:rsid w:val="004B5DF1"/>
    <w:rsid w:val="004C183E"/>
    <w:rsid w:val="004C5CF1"/>
    <w:rsid w:val="004C5E21"/>
    <w:rsid w:val="004C6200"/>
    <w:rsid w:val="004D2FCF"/>
    <w:rsid w:val="004D37A2"/>
    <w:rsid w:val="004D471D"/>
    <w:rsid w:val="004D5209"/>
    <w:rsid w:val="004D5525"/>
    <w:rsid w:val="004D7DBE"/>
    <w:rsid w:val="004E417F"/>
    <w:rsid w:val="004F226B"/>
    <w:rsid w:val="00501793"/>
    <w:rsid w:val="0050331E"/>
    <w:rsid w:val="0051400A"/>
    <w:rsid w:val="00516F1D"/>
    <w:rsid w:val="00523FCF"/>
    <w:rsid w:val="00527858"/>
    <w:rsid w:val="00537BC9"/>
    <w:rsid w:val="0054263D"/>
    <w:rsid w:val="00573C52"/>
    <w:rsid w:val="00574208"/>
    <w:rsid w:val="005750FC"/>
    <w:rsid w:val="005806AE"/>
    <w:rsid w:val="00580FCF"/>
    <w:rsid w:val="005853DC"/>
    <w:rsid w:val="00593001"/>
    <w:rsid w:val="00595037"/>
    <w:rsid w:val="00596EAC"/>
    <w:rsid w:val="005B2833"/>
    <w:rsid w:val="005B2CF8"/>
    <w:rsid w:val="005B64EB"/>
    <w:rsid w:val="005C0B01"/>
    <w:rsid w:val="005C59F6"/>
    <w:rsid w:val="005F0E14"/>
    <w:rsid w:val="005F3A20"/>
    <w:rsid w:val="005F4EAC"/>
    <w:rsid w:val="00612FF2"/>
    <w:rsid w:val="006346D2"/>
    <w:rsid w:val="00640EED"/>
    <w:rsid w:val="00641AD8"/>
    <w:rsid w:val="00642E60"/>
    <w:rsid w:val="00644D48"/>
    <w:rsid w:val="00646A75"/>
    <w:rsid w:val="00650185"/>
    <w:rsid w:val="00653875"/>
    <w:rsid w:val="00661841"/>
    <w:rsid w:val="006A6774"/>
    <w:rsid w:val="006C2BEC"/>
    <w:rsid w:val="006D0196"/>
    <w:rsid w:val="006D6A84"/>
    <w:rsid w:val="006E2A20"/>
    <w:rsid w:val="006E3969"/>
    <w:rsid w:val="006E4C19"/>
    <w:rsid w:val="006F3A48"/>
    <w:rsid w:val="006F5BFA"/>
    <w:rsid w:val="007037E8"/>
    <w:rsid w:val="00713C1D"/>
    <w:rsid w:val="00724FF8"/>
    <w:rsid w:val="00730F59"/>
    <w:rsid w:val="0073545D"/>
    <w:rsid w:val="00735A0D"/>
    <w:rsid w:val="007403CF"/>
    <w:rsid w:val="00746227"/>
    <w:rsid w:val="007513E2"/>
    <w:rsid w:val="0075777F"/>
    <w:rsid w:val="007628A5"/>
    <w:rsid w:val="00767514"/>
    <w:rsid w:val="00770DE7"/>
    <w:rsid w:val="0077106D"/>
    <w:rsid w:val="0077394E"/>
    <w:rsid w:val="0077749D"/>
    <w:rsid w:val="00790329"/>
    <w:rsid w:val="00791E4E"/>
    <w:rsid w:val="00792D6D"/>
    <w:rsid w:val="00797730"/>
    <w:rsid w:val="007A4B36"/>
    <w:rsid w:val="007A569A"/>
    <w:rsid w:val="007C1063"/>
    <w:rsid w:val="007C1C59"/>
    <w:rsid w:val="007C2B2E"/>
    <w:rsid w:val="007D2616"/>
    <w:rsid w:val="007D38E6"/>
    <w:rsid w:val="007E7595"/>
    <w:rsid w:val="007F455A"/>
    <w:rsid w:val="00812C5C"/>
    <w:rsid w:val="008419FF"/>
    <w:rsid w:val="00851C40"/>
    <w:rsid w:val="008551D7"/>
    <w:rsid w:val="00861976"/>
    <w:rsid w:val="00882E11"/>
    <w:rsid w:val="00893DA6"/>
    <w:rsid w:val="008A2A9E"/>
    <w:rsid w:val="008A48C1"/>
    <w:rsid w:val="008B0173"/>
    <w:rsid w:val="008B0B68"/>
    <w:rsid w:val="008B1712"/>
    <w:rsid w:val="008B1FD8"/>
    <w:rsid w:val="008C71CF"/>
    <w:rsid w:val="008D4D9B"/>
    <w:rsid w:val="008D7C58"/>
    <w:rsid w:val="008E03B2"/>
    <w:rsid w:val="008E26EA"/>
    <w:rsid w:val="008E3524"/>
    <w:rsid w:val="008E74B3"/>
    <w:rsid w:val="008F2746"/>
    <w:rsid w:val="008F3622"/>
    <w:rsid w:val="00902602"/>
    <w:rsid w:val="00926926"/>
    <w:rsid w:val="009502F4"/>
    <w:rsid w:val="0095109E"/>
    <w:rsid w:val="009519AC"/>
    <w:rsid w:val="00955B42"/>
    <w:rsid w:val="0096788A"/>
    <w:rsid w:val="00971B48"/>
    <w:rsid w:val="00975ABB"/>
    <w:rsid w:val="0097617D"/>
    <w:rsid w:val="00976D89"/>
    <w:rsid w:val="009818F3"/>
    <w:rsid w:val="0098397A"/>
    <w:rsid w:val="00996D63"/>
    <w:rsid w:val="00997179"/>
    <w:rsid w:val="009A1C02"/>
    <w:rsid w:val="009A397C"/>
    <w:rsid w:val="009B4409"/>
    <w:rsid w:val="009C3C95"/>
    <w:rsid w:val="009C4D27"/>
    <w:rsid w:val="009C7B56"/>
    <w:rsid w:val="009D07B5"/>
    <w:rsid w:val="009D74EF"/>
    <w:rsid w:val="009E708E"/>
    <w:rsid w:val="009F6132"/>
    <w:rsid w:val="00A01DC4"/>
    <w:rsid w:val="00A02CC4"/>
    <w:rsid w:val="00A16ED4"/>
    <w:rsid w:val="00A21E63"/>
    <w:rsid w:val="00A24BC5"/>
    <w:rsid w:val="00A264ED"/>
    <w:rsid w:val="00A33241"/>
    <w:rsid w:val="00A64D07"/>
    <w:rsid w:val="00A66CF9"/>
    <w:rsid w:val="00A76806"/>
    <w:rsid w:val="00A8242D"/>
    <w:rsid w:val="00A915FE"/>
    <w:rsid w:val="00A95856"/>
    <w:rsid w:val="00A963CC"/>
    <w:rsid w:val="00A96A0F"/>
    <w:rsid w:val="00AC0198"/>
    <w:rsid w:val="00AC71C9"/>
    <w:rsid w:val="00AE35D6"/>
    <w:rsid w:val="00AE4858"/>
    <w:rsid w:val="00AF7AB9"/>
    <w:rsid w:val="00B069C1"/>
    <w:rsid w:val="00B30234"/>
    <w:rsid w:val="00B31C5C"/>
    <w:rsid w:val="00B3562C"/>
    <w:rsid w:val="00B36FBF"/>
    <w:rsid w:val="00B37D28"/>
    <w:rsid w:val="00B4332F"/>
    <w:rsid w:val="00B43BB8"/>
    <w:rsid w:val="00B44E1D"/>
    <w:rsid w:val="00B50771"/>
    <w:rsid w:val="00B52221"/>
    <w:rsid w:val="00B574EB"/>
    <w:rsid w:val="00B60231"/>
    <w:rsid w:val="00B833B8"/>
    <w:rsid w:val="00B86214"/>
    <w:rsid w:val="00B92802"/>
    <w:rsid w:val="00B93BAC"/>
    <w:rsid w:val="00BA08FC"/>
    <w:rsid w:val="00BA4E49"/>
    <w:rsid w:val="00BA610E"/>
    <w:rsid w:val="00BB0BB9"/>
    <w:rsid w:val="00BB22C4"/>
    <w:rsid w:val="00BB3D02"/>
    <w:rsid w:val="00BC33E7"/>
    <w:rsid w:val="00BD0A32"/>
    <w:rsid w:val="00BD259C"/>
    <w:rsid w:val="00BD43B1"/>
    <w:rsid w:val="00BE165B"/>
    <w:rsid w:val="00BF428A"/>
    <w:rsid w:val="00C1322F"/>
    <w:rsid w:val="00C15397"/>
    <w:rsid w:val="00C32459"/>
    <w:rsid w:val="00C34A9E"/>
    <w:rsid w:val="00C460ED"/>
    <w:rsid w:val="00C51973"/>
    <w:rsid w:val="00C52A7D"/>
    <w:rsid w:val="00C57CC5"/>
    <w:rsid w:val="00C603FA"/>
    <w:rsid w:val="00C61E9C"/>
    <w:rsid w:val="00C65021"/>
    <w:rsid w:val="00C66501"/>
    <w:rsid w:val="00C7051A"/>
    <w:rsid w:val="00C741CF"/>
    <w:rsid w:val="00CB01B8"/>
    <w:rsid w:val="00CB1394"/>
    <w:rsid w:val="00CB443A"/>
    <w:rsid w:val="00CB68F4"/>
    <w:rsid w:val="00CC6FE0"/>
    <w:rsid w:val="00CC772E"/>
    <w:rsid w:val="00CD0D44"/>
    <w:rsid w:val="00CE2896"/>
    <w:rsid w:val="00CE441B"/>
    <w:rsid w:val="00CF197E"/>
    <w:rsid w:val="00CF2D69"/>
    <w:rsid w:val="00D04435"/>
    <w:rsid w:val="00D11023"/>
    <w:rsid w:val="00D1162A"/>
    <w:rsid w:val="00D12330"/>
    <w:rsid w:val="00D156F4"/>
    <w:rsid w:val="00D25475"/>
    <w:rsid w:val="00D25F88"/>
    <w:rsid w:val="00D3158A"/>
    <w:rsid w:val="00D331FC"/>
    <w:rsid w:val="00D36325"/>
    <w:rsid w:val="00D425B2"/>
    <w:rsid w:val="00D55856"/>
    <w:rsid w:val="00D5669D"/>
    <w:rsid w:val="00D62107"/>
    <w:rsid w:val="00D6345D"/>
    <w:rsid w:val="00D700D2"/>
    <w:rsid w:val="00D73B43"/>
    <w:rsid w:val="00D757B5"/>
    <w:rsid w:val="00D86A5B"/>
    <w:rsid w:val="00D9127E"/>
    <w:rsid w:val="00D9194E"/>
    <w:rsid w:val="00D96890"/>
    <w:rsid w:val="00DA2E33"/>
    <w:rsid w:val="00DA66F4"/>
    <w:rsid w:val="00DA7AF5"/>
    <w:rsid w:val="00DB5567"/>
    <w:rsid w:val="00DC1751"/>
    <w:rsid w:val="00DD10A5"/>
    <w:rsid w:val="00DD387A"/>
    <w:rsid w:val="00DE0149"/>
    <w:rsid w:val="00DE3103"/>
    <w:rsid w:val="00DE5E6A"/>
    <w:rsid w:val="00DF5140"/>
    <w:rsid w:val="00DF7388"/>
    <w:rsid w:val="00DF79DE"/>
    <w:rsid w:val="00E15B9E"/>
    <w:rsid w:val="00E2181A"/>
    <w:rsid w:val="00E34043"/>
    <w:rsid w:val="00E4421F"/>
    <w:rsid w:val="00E578BC"/>
    <w:rsid w:val="00E714D1"/>
    <w:rsid w:val="00E76FCD"/>
    <w:rsid w:val="00E774BB"/>
    <w:rsid w:val="00E8056B"/>
    <w:rsid w:val="00E83B71"/>
    <w:rsid w:val="00E9466C"/>
    <w:rsid w:val="00EA252A"/>
    <w:rsid w:val="00EA2EA6"/>
    <w:rsid w:val="00EA440E"/>
    <w:rsid w:val="00EB3094"/>
    <w:rsid w:val="00EB71AD"/>
    <w:rsid w:val="00EC1355"/>
    <w:rsid w:val="00EC19D3"/>
    <w:rsid w:val="00EC47C0"/>
    <w:rsid w:val="00EE0CCF"/>
    <w:rsid w:val="00EF3F38"/>
    <w:rsid w:val="00F004F2"/>
    <w:rsid w:val="00F066D0"/>
    <w:rsid w:val="00F12F0F"/>
    <w:rsid w:val="00F1531E"/>
    <w:rsid w:val="00F2027B"/>
    <w:rsid w:val="00F238B8"/>
    <w:rsid w:val="00F30846"/>
    <w:rsid w:val="00F4082F"/>
    <w:rsid w:val="00F41A4D"/>
    <w:rsid w:val="00F41D87"/>
    <w:rsid w:val="00F530B5"/>
    <w:rsid w:val="00F563DE"/>
    <w:rsid w:val="00F5653F"/>
    <w:rsid w:val="00F574EB"/>
    <w:rsid w:val="00F61B58"/>
    <w:rsid w:val="00F62C01"/>
    <w:rsid w:val="00F67B2B"/>
    <w:rsid w:val="00F71390"/>
    <w:rsid w:val="00F73DB5"/>
    <w:rsid w:val="00F81549"/>
    <w:rsid w:val="00F83FFF"/>
    <w:rsid w:val="00F90CBB"/>
    <w:rsid w:val="00F90E88"/>
    <w:rsid w:val="00F9122C"/>
    <w:rsid w:val="00F9305C"/>
    <w:rsid w:val="00F952E6"/>
    <w:rsid w:val="00F96CC4"/>
    <w:rsid w:val="00FA2875"/>
    <w:rsid w:val="00FA3C43"/>
    <w:rsid w:val="00FD06E8"/>
    <w:rsid w:val="00FE0EBB"/>
    <w:rsid w:val="00FF3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F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D25F8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D363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B64E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B64EB"/>
  </w:style>
  <w:style w:type="paragraph" w:styleId="Rodap">
    <w:name w:val="footer"/>
    <w:basedOn w:val="Normal"/>
    <w:link w:val="RodapChar"/>
    <w:uiPriority w:val="99"/>
    <w:unhideWhenUsed/>
    <w:rsid w:val="005B64E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B64EB"/>
  </w:style>
  <w:style w:type="paragraph" w:styleId="Textodebalo">
    <w:name w:val="Balloon Text"/>
    <w:basedOn w:val="Normal"/>
    <w:link w:val="TextodebaloChar"/>
    <w:uiPriority w:val="99"/>
    <w:semiHidden/>
    <w:unhideWhenUsed/>
    <w:rsid w:val="005B64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64EB"/>
    <w:rPr>
      <w:rFonts w:ascii="Tahoma" w:hAnsi="Tahoma" w:cs="Tahoma"/>
      <w:sz w:val="16"/>
      <w:szCs w:val="16"/>
    </w:rPr>
  </w:style>
  <w:style w:type="character" w:styleId="Nmerodepgina">
    <w:name w:val="page number"/>
    <w:basedOn w:val="Fontepargpadro"/>
    <w:rsid w:val="0046324B"/>
  </w:style>
  <w:style w:type="character" w:customStyle="1" w:styleId="apple-converted-space">
    <w:name w:val="apple-converted-space"/>
    <w:basedOn w:val="Fontepargpadro"/>
    <w:rsid w:val="009D74EF"/>
  </w:style>
  <w:style w:type="paragraph" w:styleId="NormalWeb">
    <w:name w:val="Normal (Web)"/>
    <w:basedOn w:val="Normal"/>
    <w:uiPriority w:val="99"/>
    <w:unhideWhenUsed/>
    <w:rsid w:val="009D74EF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D74EF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D74EF"/>
    <w:rPr>
      <w:b/>
      <w:bCs/>
    </w:rPr>
  </w:style>
  <w:style w:type="paragraph" w:styleId="PargrafodaLista">
    <w:name w:val="List Paragraph"/>
    <w:basedOn w:val="Normal"/>
    <w:uiPriority w:val="34"/>
    <w:qFormat/>
    <w:rsid w:val="007D38E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Ttulo2Char">
    <w:name w:val="Título 2 Char"/>
    <w:basedOn w:val="Fontepargpadro"/>
    <w:link w:val="Ttulo2"/>
    <w:uiPriority w:val="9"/>
    <w:rsid w:val="00D25F8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D25F88"/>
    <w:rPr>
      <w:i/>
      <w:i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A2E33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DA2E33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DA2E33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DA2E33"/>
    <w:rPr>
      <w:vertAlign w:val="superscript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F67B2B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90329"/>
    <w:pPr>
      <w:spacing w:after="0" w:line="240" w:lineRule="auto"/>
    </w:pPr>
    <w:rPr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har">
    <w:name w:val="Título 3 Char"/>
    <w:basedOn w:val="Fontepargpadro"/>
    <w:link w:val="Ttulo3"/>
    <w:uiPriority w:val="9"/>
    <w:semiHidden/>
    <w:rsid w:val="001D363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8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DB511-C9E0-4AC0-A2D4-3CE4FC1BF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495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</Company>
  <LinksUpToDate>false</LinksUpToDate>
  <CharactersWithSpaces>3167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"Alberto Borges de Carvalho Junior" &lt;abcjunior@borgesdecarvalho.com&gt;</dc:creator>
  <cp:lastModifiedBy>D</cp:lastModifiedBy>
  <cp:revision>4</cp:revision>
  <dcterms:created xsi:type="dcterms:W3CDTF">2026-05-12T17:55:00Z</dcterms:created>
  <dcterms:modified xsi:type="dcterms:W3CDTF">2026-05-12T19:00:00Z</dcterms:modified>
</cp:coreProperties>
</file>